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20.png" ContentType="image/png"/>
  <Override PartName="/word/media/rId55.png" ContentType="image/png"/>
  <Override PartName="/word/media/rId59.png" ContentType="image/png"/>
  <Override PartName="/word/media/rId52.png" ContentType="image/png"/>
  <Override PartName="/word/media/rId78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26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23.png" ContentType="image/png"/>
  <Override PartName="/word/media/rId69.png" ContentType="image/png"/>
  <Override PartName="/word/media/rId73.png" ContentType="image/png"/>
  <Override PartName="/word/media/rId49.png" ContentType="image/png"/>
  <Override PartName="/word/media/rId63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8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p>
      <w:pPr>
        <w:pStyle w:val="BodyText"/>
      </w:pPr>
      <w:r>
        <w:drawing>
          <wp:inline>
            <wp:extent cx="4076572" cy="51683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da-main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572" cy="51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2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29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0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1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2"/>
    <w:bookmarkStart w:id="38" w:name="přístupnost-záznamů"/>
    <w:p>
      <w:pPr>
        <w:pStyle w:val="Heading3"/>
      </w:pPr>
      <w:r>
        <w:t xml:space="preserve">Přístupnost záznamů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important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  <w:r>
              <w:rPr>
                <w:b/>
                <w:bCs/>
              </w:rPr>
              <w:t xml:space="preserve">Upozornění</w:t>
            </w:r>
          </w:p>
          <w:p>
            <w:pPr>
              <w:pStyle w:val="BodyText"/>
            </w:pPr>
            <w:pPr>
              <w:spacing w:before="16" w:after="16"/>
            </w:pPr>
            <w:r>
              <w:t xml:space="preserve">Digitální archiv AMČR obsahuje výhradně již</w:t>
            </w:r>
            <w:r>
              <w:t xml:space="preserve"> </w:t>
            </w:r>
            <w:r>
              <w:rPr>
                <w:b/>
                <w:bCs/>
              </w:rPr>
              <w:t xml:space="preserve">archivované záznamy a dokumenty</w:t>
            </w:r>
            <w:r>
              <w:t xml:space="preserve"> </w:t>
            </w:r>
            <w:r>
              <w:t xml:space="preserve">(viz</w:t>
            </w:r>
            <w:r>
              <w:t xml:space="preserve"> </w:t>
            </w:r>
            <w:hyperlink r:id="rId36">
              <w:r>
                <w:rPr>
                  <w:rStyle w:val="Hyperlink"/>
                </w:rPr>
                <w:t xml:space="preserve">procesní stavy</w:t>
              </w:r>
            </w:hyperlink>
            <w:r>
              <w:t xml:space="preserve">), tj. záznamy, které byly uzavřeny a prošly kontrolou pověřených</w:t>
            </w:r>
            <w:r>
              <w:t xml:space="preserve"> </w:t>
            </w:r>
            <w:hyperlink r:id="rId37">
              <w:r>
                <w:rPr>
                  <w:rStyle w:val="Hyperlink"/>
                </w:rPr>
                <w:t xml:space="preserve">archivářů</w:t>
              </w:r>
            </w:hyperlink>
            <w:r>
              <w:t xml:space="preserve"> </w:t>
            </w:r>
            <w:r>
              <w:t xml:space="preserve">AMČR z Archeologických ústavů AV ČR v Praze a Brně.</w:t>
            </w:r>
          </w:p>
        </w:tc>
      </w:tr>
    </w:tbl>
    <w:p>
      <w:pPr>
        <w:pStyle w:val="BodyText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8"/>
    <w:bookmarkStart w:id="41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9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40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41"/>
    <w:bookmarkStart w:id="42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42"/>
    <w:bookmarkStart w:id="47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3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p>
      <w:pPr>
        <w:pStyle w:val="BodyText"/>
      </w:pPr>
      <w:r>
        <w:drawing>
          <wp:inline>
            <wp:extent cx="5334000" cy="1061042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da-tile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77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r>
        <w:drawing>
          <wp:inline>
            <wp:extent cx="5334000" cy="2149585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da-results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p>
      <w:pPr>
        <w:pStyle w:val="BodyText"/>
      </w:pPr>
      <w:r>
        <w:drawing>
          <wp:inline>
            <wp:extent cx="2950668" cy="1759643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figs/da-dl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68" cy="1759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p>
      <w:pPr>
        <w:pStyle w:val="BodyText"/>
      </w:pPr>
      <w:r>
        <w:drawing>
          <wp:inline>
            <wp:extent cx="5334000" cy="1522412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figs/da-arran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58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7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p>
      <w:pPr>
        <w:pStyle w:val="BodyText"/>
      </w:pPr>
      <w:r>
        <w:drawing>
          <wp:inline>
            <wp:extent cx="5334000" cy="379818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figs/da-detai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58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p>
      <w:pPr>
        <w:pStyle w:val="BodyText"/>
      </w:pPr>
      <w:r>
        <w:drawing>
          <wp:inline>
            <wp:extent cx="5334000" cy="536692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da-souvis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vyhledaných</w:t>
      </w:r>
      <w:r>
        <w:t xml:space="preserve"> </w:t>
      </w:r>
      <w:hyperlink r:id="rId66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67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68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p>
      <w:pPr>
        <w:pStyle w:val="BodyText"/>
      </w:pPr>
      <w:r>
        <w:drawing>
          <wp:inline>
            <wp:extent cx="5334000" cy="4809168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s/da-nz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p>
      <w:pPr>
        <w:pStyle w:val="BodyText"/>
      </w:pPr>
      <w:r>
        <w:drawing>
          <wp:inline>
            <wp:extent cx="5334000" cy="254256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s/da-pid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End w:id="77"/>
    <w:bookmarkStart w:id="95" w:name="filtrace"/>
    <w:p>
      <w:pPr>
        <w:pStyle w:val="Heading2"/>
      </w:pPr>
      <w:r>
        <w:t xml:space="preserve">Filtrace</w:t>
      </w:r>
    </w:p>
    <w:bookmarkStart w:id="81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p>
      <w:pPr>
        <w:pStyle w:val="BodyText"/>
      </w:pPr>
      <w:r>
        <w:drawing>
          <wp:inline>
            <wp:extent cx="2667000" cy="1507764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igs/da-filtr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07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94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p>
      <w:pPr>
        <w:pStyle w:val="BodyText"/>
      </w:pPr>
      <w:r>
        <w:drawing>
          <wp:inline>
            <wp:extent cx="2667000" cy="261632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s/da-filtr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6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p>
      <w:pPr>
        <w:pStyle w:val="BodyText"/>
      </w:pPr>
      <w:r>
        <w:drawing>
          <wp:inline>
            <wp:extent cx="2667000" cy="346946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s/da-filtr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469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p>
      <w:pPr>
        <w:pStyle w:val="BodyText"/>
      </w:pPr>
      <w:r>
        <w:drawing>
          <wp:inline>
            <wp:extent cx="1905000" cy="1462652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s/da-filtr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62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p>
      <w:pPr>
        <w:pStyle w:val="BodyText"/>
      </w:pPr>
      <w:r>
        <w:drawing>
          <wp:inline>
            <wp:extent cx="5334000" cy="1334976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s/da-filtr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End w:id="95"/>
    <w:bookmarkStart w:id="126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figs/da-map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základním zobrazení mapového okna je distribuce a hustota všech dat na zobrazeném území vyjádřena heat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p>
      <w:pPr>
        <w:pStyle w:val="BodyText"/>
      </w:pPr>
      <w:r>
        <w:drawing>
          <wp:inline>
            <wp:extent cx="5334000" cy="217228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s/da-map2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přiblížení se k mapě na úroveň, kdy se zobrazuje méně než 10 000, ale více než 500 záznamů, již nevidíte heat mapu, ale záznamy se shluknou do skupin (clusterů) podle jejich prostorového rozmístění a jejich počtu (barevně a velikostně odlišené shluky).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figs/da-map3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figs/da-map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figs/da-map5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p>
      <w:pPr>
        <w:pStyle w:val="BodyText"/>
      </w:pPr>
      <w:r>
        <w:drawing>
          <wp:inline>
            <wp:extent cx="5334000" cy="217571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figs/da-map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p>
      <w:pPr>
        <w:pStyle w:val="BodyText"/>
      </w:pPr>
      <w:r>
        <w:drawing>
          <wp:inline>
            <wp:extent cx="5334000" cy="2179151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figs/da-map7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18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19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20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21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22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22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p>
      <w:pPr>
        <w:pStyle w:val="BodyText"/>
      </w:pPr>
      <w:r>
        <w:drawing>
          <wp:inline>
            <wp:extent cx="1905000" cy="1231804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figs/da-map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1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52" Target="media/rId52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26" Target="media/rId26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23" Target="media/rId123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49" Target="media/rId49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2024-07-08T12:19:54Z</dcterms:created>
  <dcterms:modified xsi:type="dcterms:W3CDTF">2024-07-08T12:19:54Z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